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="http://schemas.openxmlformats.org/officeDocument/2006/math" xmlns:mc="http://schemas.openxmlformats.org/markup-compatibility/2006" xmlns:ck="urn:clarkdown:docx" mc:Ignorable="ck">
  <w:body>
    <w:p>
      <w:pPr>
        <w:pStyle w:val="Title"/>
        <ck:id v="section"/>
      </w:pPr>
      <w:bookmarkStart w:id="0" w:name="section"/>
      <w:r>
        <w:t>Договор на разработку проекта перепланировки нежилого помещения</w:t>
      </w:r>
      <w:bookmarkEnd w:id="0"/>
    </w:p>
    <w:p>
      <w:r>
        <w:rPr>
          <w:rStyle w:val="CkMuted"/>
        </w:rPr>
        <w:t>Образец. Форма свободная — адаптируйте под свой объект и проверьте у юриста перед подписанием.</w:t>
      </w:r>
    </w:p>
    <w:p>
      <w:r>
        <w:t>г. Москва</w:t>
      </w:r>
    </w:p>
    <w:p>
      <w:r>
        <w:t>«___» _________________ 20__ г.</w:t>
      </w:r>
    </w:p>
    <w:p>
      <w:r>
        <w:t>_____________________________________, именуемое в дальнейшем «Исполнитель», в лице _________________________, действующего на основании _________________, с одной стороны, и _______________________________, именуемое в дальнейшем «Заказчик», в лице _________________________, действующего на основании _________________, с другой стороны, заключили настоящий Договор о нижеследующем.</w:t>
      </w:r>
    </w:p>
    <w:p>
      <w:pPr>
        <w:pStyle w:val="Heading2"/>
        <ck:id v="1"/>
      </w:pPr>
      <w:bookmarkStart w:id="1" w:name="_1"/>
      <w:r>
        <w:t>1. Предмет договора</w:t>
      </w:r>
      <w:bookmarkEnd w:id="1"/>
    </w:p>
    <w:p>
      <w:r>
        <w:t>1.1. Исполнитель обязуется разработать проектную документацию на перепланировку и (или) переустройство нежилого помещения, расположенного по адресу: ______________________________________________________, кадастровый номер __________________________, площадь ________ кв. м (далее — Объект), а Заказчик обязуется принять результат работ и оплатить его.</w:t>
      </w:r>
    </w:p>
    <w:p>
      <w:r>
        <w:t>1.2. Состав и содержание проектной документации определяются Техническим заданием (Приложение № 1), являющимся неотъемлемой частью Договора.</w:t>
      </w:r>
    </w:p>
    <w:p>
      <w:r>
        <w:t>1.3. Проектная документация разрабатывается в объёме, достаточном для согласования перепланировки в уполномоченном органе и для последующего кадастрового учёта изменений.</w:t>
      </w:r>
    </w:p>
    <w:p>
      <w:pPr>
        <w:pStyle w:val="Heading2"/>
        <ck:id v="2"/>
      </w:pPr>
      <w:bookmarkStart w:id="2" w:name="_2"/>
      <w:r>
        <w:t>2. Обязанности сторон</w:t>
      </w:r>
      <w:bookmarkEnd w:id="2"/>
    </w:p>
    <w:p>
      <w:r>
        <w:t>2.1. Исполнитель обязуется:</w:t>
      </w:r>
    </w:p>
    <w:p>
      <w:pPr>
        <w:pStyle w:val="ListParagraph"/>
        <w:numPr>
          <w:ilvl w:val="0"/>
          <w:numId w:val="1"/>
        </w:numPr>
      </w:pPr>
      <w:r>
        <w:t>разработать проектную документацию в соответствии с Техническим заданием и действующими нормативными требованиями;</w:t>
      </w:r>
    </w:p>
    <w:p>
      <w:pPr>
        <w:pStyle w:val="ListParagraph"/>
        <w:numPr>
          <w:ilvl w:val="0"/>
          <w:numId w:val="1"/>
        </w:numPr>
      </w:pPr>
      <w:r>
        <w:t>при необходимости выполнить обмерные работы и подготовить техническое заключение о состоянии несущих конструкций;</w:t>
      </w:r>
    </w:p>
    <w:p>
      <w:pPr>
        <w:pStyle w:val="ListParagraph"/>
        <w:numPr>
          <w:ilvl w:val="0"/>
          <w:numId w:val="1"/>
        </w:numPr>
      </w:pPr>
      <w:r>
        <w:t>передать Заказчику результат работ в согласованном количестве экземпляров на бумажном носителе и в электронном виде;</w:t>
      </w:r>
    </w:p>
    <w:p>
      <w:pPr>
        <w:pStyle w:val="ListParagraph"/>
        <w:numPr>
          <w:ilvl w:val="0"/>
          <w:numId w:val="1"/>
        </w:numPr>
      </w:pPr>
      <w:r>
        <w:t>безвозмездно устранять замечания уполномоченных органов, если они вызваны недостатками проектной документации.</w:t>
      </w:r>
    </w:p>
    <w:p>
      <w:r>
        <w:t>2.2. Заказчик обязуется:</w:t>
      </w:r>
    </w:p>
    <w:p>
      <w:pPr>
        <w:pStyle w:val="ListParagraph"/>
        <w:numPr>
          <w:ilvl w:val="0"/>
          <w:numId w:val="2"/>
        </w:numPr>
      </w:pPr>
      <w:r>
        <w:t>передать Исполнителю исходные данные по перечню, приведённому в разделе 3;</w:t>
      </w:r>
    </w:p>
    <w:p>
      <w:pPr>
        <w:pStyle w:val="ListParagraph"/>
        <w:numPr>
          <w:ilvl w:val="0"/>
          <w:numId w:val="2"/>
        </w:numPr>
      </w:pPr>
      <w:r>
        <w:t>обеспечить доступ представителей Исполнителя на Объект для обмеров и обследования;</w:t>
      </w:r>
    </w:p>
    <w:p>
      <w:pPr>
        <w:pStyle w:val="ListParagraph"/>
        <w:numPr>
          <w:ilvl w:val="0"/>
          <w:numId w:val="2"/>
        </w:numPr>
      </w:pPr>
      <w:r>
        <w:t>рассмотреть и принять результат работ в срок, установленный разделом 5;</w:t>
      </w:r>
    </w:p>
    <w:p>
      <w:pPr>
        <w:pStyle w:val="ListParagraph"/>
        <w:numPr>
          <w:ilvl w:val="0"/>
          <w:numId w:val="2"/>
        </w:numPr>
      </w:pPr>
      <w:r>
        <w:t>оплатить работы в порядке, установленном разделом 4.</w:t>
      </w:r>
    </w:p>
    <w:p>
      <w:pPr>
        <w:pStyle w:val="Heading2"/>
        <ck:id v="3"/>
      </w:pPr>
      <w:bookmarkStart w:id="3" w:name="_3"/>
      <w:r>
        <w:t>3. Исходные данные</w:t>
      </w:r>
      <w:bookmarkEnd w:id="3"/>
    </w:p>
    <w:p>
      <w:r>
        <w:t>Заказчик передаёт Исполнителю в течение ____ рабочих дней с даты подписания Договора: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Документ</w:t>
            </w:r>
          </w:p>
        </w:tc>
        <w:tc>
          <w:tcPr/>
          <w:p>
            <w:r>
              <w:rPr>
                <w:b/>
              </w:rPr>
              <w:t>Форма передачи</w:t>
            </w:r>
          </w:p>
        </w:tc>
      </w:tr>
      <w:tr>
        <w:tc>
          <w:tcPr/>
          <w:p>
            <w:r>
              <w:t>Выписка из ЕГРН об объекте недвижимости с графической частью</w:t>
            </w:r>
          </w:p>
        </w:tc>
        <w:tc>
          <w:tcPr/>
          <w:p>
            <w:r>
              <w:t>копия</w:t>
            </w:r>
          </w:p>
        </w:tc>
      </w:tr>
      <w:tr>
        <w:tc>
          <w:tcPr/>
          <w:p>
            <w:r>
              <w:t>Поэтажный план и экспликация</w:t>
            </w:r>
          </w:p>
        </w:tc>
        <w:tc>
          <w:tcPr/>
          <w:p>
            <w:r>
              <w:t>копия</w:t>
            </w:r>
          </w:p>
        </w:tc>
      </w:tr>
      <w:tr>
        <w:tc>
          <w:tcPr/>
          <w:p>
            <w:r>
              <w:t>Правоустанавливающие документы на Объект</w:t>
            </w:r>
          </w:p>
        </w:tc>
        <w:tc>
          <w:tcPr/>
          <w:p>
            <w:r>
              <w:t>копия</w:t>
            </w:r>
          </w:p>
        </w:tc>
      </w:tr>
      <w:tr>
        <w:tc>
          <w:tcPr/>
          <w:p>
            <w:r>
              <w:t>Согласие собственника (для арендатора)</w:t>
            </w:r>
          </w:p>
        </w:tc>
        <w:tc>
          <w:tcPr/>
          <w:p>
            <w:r>
              <w:t>оригинал или копия</w:t>
            </w:r>
          </w:p>
        </w:tc>
      </w:tr>
      <w:tr>
        <w:tc>
          <w:tcPr/>
          <w:p>
            <w:r>
              <w:t>Пожелания к планировочному решению</w:t>
            </w:r>
          </w:p>
        </w:tc>
        <w:tc>
          <w:tcPr/>
          <w:p>
            <w:r>
              <w:t>эскиз, схема или описание</w:t>
            </w:r>
          </w:p>
        </w:tc>
      </w:tr>
    </w:tbl>
    <w:p>
      <w:r>
        <w:t>Течение сроков выполнения работ начинается с даты передачи последнего из документов, указанных в настоящем разделе.</w:t>
      </w:r>
    </w:p>
    <w:p>
      <w:pPr>
        <w:pStyle w:val="Heading2"/>
        <ck:id v="4"/>
      </w:pPr>
      <w:bookmarkStart w:id="4" w:name="_4"/>
      <w:r>
        <w:t>4. Стоимость и порядок расчётов</w:t>
      </w:r>
      <w:bookmarkEnd w:id="4"/>
    </w:p>
    <w:p>
      <w:r>
        <w:t>4.1. Стоимость работ составляет _________________ рублей, включая (не включая) НДС.</w:t>
      </w:r>
    </w:p>
    <w:p>
      <w:r>
        <w:t>4.2. Заказчик перечисляет аванс в размере ____ % стоимости в течение ____ рабочих дней с даты подписания Договора; окончательный расчёт производится в течение ____ рабочих дней с даты подписания акта сдачи-приёмки.</w:t>
      </w:r>
    </w:p>
    <w:p>
      <w:r>
        <w:t>4.3. Стоимость работ является твёрдой и изменяется только по соглашению сторон при изменении Технического задания.</w:t>
      </w:r>
    </w:p>
    <w:p>
      <w:pPr>
        <w:pStyle w:val="Heading2"/>
        <ck:id v="5"/>
      </w:pPr>
      <w:bookmarkStart w:id="5" w:name="_5"/>
      <w:r>
        <w:t>5. Сроки и порядок сдачи работ</w:t>
      </w:r>
      <w:bookmarkEnd w:id="5"/>
    </w:p>
    <w:p>
      <w:r>
        <w:t>5.1. Срок разработки проектной документации — ____ рабочих дней с даты, определённой пунктом 3 настоящего Договора.</w:t>
      </w:r>
    </w:p>
    <w:p>
      <w:r>
        <w:t>5.2. Исполнитель передаёт результат работ с сопроводительным письмом и актом сдачи-приёмки. Заказчик в течение ____ рабочих дней подписывает акт либо направляет мотивированные замечания.</w:t>
      </w:r>
    </w:p>
    <w:p>
      <w:r>
        <w:t>5.3. При отсутствии подписанного акта и мотивированных замечаний по истечении срока, указанного в пункте 5.2, работы считаются принятыми.</w:t>
      </w:r>
    </w:p>
    <w:p>
      <w:pPr>
        <w:pStyle w:val="Heading2"/>
        <ck:id v="6"/>
      </w:pPr>
      <w:bookmarkStart w:id="6" w:name="_6"/>
      <w:r>
        <w:t>6. Ответственность сторон</w:t>
      </w:r>
      <w:bookmarkEnd w:id="6"/>
    </w:p>
    <w:p>
      <w:r>
        <w:t>6.1. За нарушение сроков выполнения работ Исполнитель уплачивает пеню в размере ____ % стоимости работ за каждый день просрочки, но не более ____ % стоимости.</w:t>
      </w:r>
    </w:p>
    <w:p>
      <w:r>
        <w:t>6.2. За нарушение сроков оплаты Заказчик уплачивает пеню на тех же условиях.</w:t>
      </w:r>
    </w:p>
    <w:p>
      <w:r>
        <w:t>6.3. Исполнитель не отвечает за отказ уполномоченного органа, вызванный недостоверностью исходных данных, предоставленных Заказчиком, либо выполнением работ на Объекте до получения согласования.</w:t>
      </w:r>
    </w:p>
    <w:p>
      <w:pPr>
        <w:pStyle w:val="Heading2"/>
        <ck:id v="7"/>
      </w:pPr>
      <w:bookmarkStart w:id="7" w:name="_7"/>
      <w:r>
        <w:t>7. Права на результат работ</w:t>
      </w:r>
      <w:bookmarkEnd w:id="7"/>
    </w:p>
    <w:p>
      <w:r>
        <w:t>7.1. Исключительное право на проектную документацию переходит к Заказчику с момента полной оплаты.</w:t>
      </w:r>
    </w:p>
    <w:p>
      <w:r>
        <w:t>7.2. Исполнитель вправе использовать обезличенные сведения об Объекте в портфолио и справочных материалах.</w:t>
      </w:r>
    </w:p>
    <w:p>
      <w:pPr>
        <w:pStyle w:val="Heading2"/>
        <ck:id v="8"/>
      </w:pPr>
      <w:bookmarkStart w:id="8" w:name="_8"/>
      <w:r>
        <w:t>8. Прочие условия</w:t>
      </w:r>
      <w:bookmarkEnd w:id="8"/>
    </w:p>
    <w:p>
      <w:r>
        <w:t>8.1. Договор вступает в силу с даты подписания и действует до полного исполнения обязательств.</w:t>
      </w:r>
    </w:p>
    <w:p>
      <w:r>
        <w:t>8.2. Споры разрешаются путём переговоров, при недостижении согласия — в порядке, установленном законодательством Российской Федерации.</w:t>
      </w:r>
    </w:p>
    <w:p>
      <w:r>
        <w:t>8.3. Договор составлен в двух экземплярах, имеющих одинаковую юридическую силу.</w:t>
      </w:r>
    </w:p>
    <w:p>
      <w:r>
        <w:t>8.4. Приложения: № 1 — Техническое задание.</w:t>
      </w:r>
    </w:p>
    <w:p>
      <w:pPr>
        <w:pStyle w:val="Heading2"/>
        <ck:id v="9"/>
      </w:pPr>
      <w:bookmarkStart w:id="9" w:name="_9"/>
      <w:r>
        <w:t>9. Реквизиты и подписи сторон</w:t>
      </w:r>
      <w:bookmarkEnd w:id="9"/>
    </w:p>
    <w:sdt>
      <w:sdtPr>
        <w:tag w:val="clarkdown:layout"/>
        <ck:layout v="row|2|4819,4819"/>
        <ck:layoutAttr v="||"/>
        <ck:layoutCell v="col:||w=1fr"/>
        <ck:layoutCell v="col:||w=1fr"/>
      </w:sdtPr>
      <w:sdtContent>
        <w:tbl>
          <w:tblPr>
            <w:tblStyle w:val="CkLayout"/>
            <w:tblW w:w="5000" w:type="pct"/>
            <w:tblLayout w:type="fixed"/>
          </w:tblPr>
          <w:tblGrid>
            <w:gridCol w:w="4819"/>
            <w:gridCol w:w="4819"/>
          </w:tblGrid>
          <w:tr>
            <w:tc>
              <w:tcPr>
                <w:tcW w:w="4819" w:type="dxa"/>
              </w:tcPr>
              <w:p>
                <w:r>
                  <w:rPr>
                    <w:b/>
                  </w:rPr>
                  <w:t>Исполнитель</w:t>
                </w:r>
              </w:p>
              <w:p>
                <w:r>
                  <w:t xml:space="preserve">Наименование: ______________________ </w:t>
                </w:r>
                <w:r>
                  <w:br/>
                </w:r>
                <w:r>
                  <w:t xml:space="preserve">ИНН / КПП: ______________________ </w:t>
                </w:r>
                <w:r>
                  <w:br/>
                </w:r>
                <w:r>
                  <w:t xml:space="preserve">ОГРН: ______________________ </w:t>
                </w:r>
                <w:r>
                  <w:br/>
                </w:r>
                <w:r>
                  <w:t xml:space="preserve">Адрес: ______________________ </w:t>
                </w:r>
                <w:r>
                  <w:br/>
                </w:r>
                <w:r>
                  <w:t xml:space="preserve">Р/с: ______________________ </w:t>
                </w:r>
                <w:r>
                  <w:br/>
                </w:r>
                <w:r>
                  <w:t>Банк: ______________________</w:t>
                </w:r>
              </w:p>
              <w:p>
                <w:r>
                  <w:t>_______________ / _______________</w:t>
                </w:r>
              </w:p>
            </w:tc>
            <w:tc>
              <w:tcPr>
                <w:tcW w:w="4819" w:type="dxa"/>
              </w:tcPr>
              <w:p>
                <w:r>
                  <w:rPr>
                    <w:b/>
                  </w:rPr>
                  <w:t>Заказчик</w:t>
                </w:r>
              </w:p>
              <w:p>
                <w:r>
                  <w:t xml:space="preserve">Наименование: ______________________ </w:t>
                </w:r>
                <w:r>
                  <w:br/>
                </w:r>
                <w:r>
                  <w:t xml:space="preserve">ИНН / КПП: ______________________ </w:t>
                </w:r>
                <w:r>
                  <w:br/>
                </w:r>
                <w:r>
                  <w:t xml:space="preserve">ОГРН: ______________________ </w:t>
                </w:r>
                <w:r>
                  <w:br/>
                </w:r>
                <w:r>
                  <w:t xml:space="preserve">Адрес: ______________________ </w:t>
                </w:r>
                <w:r>
                  <w:br/>
                </w:r>
                <w:r>
                  <w:t xml:space="preserve">Р/с: ______________________ </w:t>
                </w:r>
                <w:r>
                  <w:br/>
                </w:r>
                <w:r>
                  <w:t>Банк: ______________________</w:t>
                </w:r>
              </w:p>
              <w:p>
                <w:r>
                  <w:t>_______________ / _______________</w:t>
                </w:r>
              </w:p>
            </w:tc>
          </w:tr>
        </w:tbl>
      </w:sdtContent>
    </w:sdt>
    <w:sectPr>
      <ck:section v="1:||margins=2cm,size=a4"/>
      <w:footerReference w:type="default" r:id="rIdHf1"/>
      <w:pgSz w:w="11906" w:h="16838"/>
      <w:pgMar w:top="1134" w:right="1134" w:bottom="1134" w:left="1134" w:header="720" w:footer="720" w:gutter="0"/>
    </w:sectPr>
  </w:body>
</w:document>
</file>

<file path=word/fontTable.xml><?xml version="1.0" encoding="utf-8"?>
<w:fonts xmlns:w="http://schemas.openxmlformats.org/wordprocessingml/2006/main">
  <w:font w:name="Calibri">
    <w:family w:val="swiss"/>
  </w:font>
  <w:font w:name="Calibri Light">
    <w:family w:val="swiss"/>
  </w:font>
  <w:font w:name="Consolas">
    <w:family w:val="modern"/>
  </w:font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="http://schemas.openxmlformats.org/officeDocument/2006/math" xmlns:mc="http://schemas.openxmlformats.org/markup-compatibility/2006" xmlns:ck="urn:clarkdown:docx" mc:Ignorable="ck">
  <w:sdt>
    <w:sdtPr>
      <w:tag w:val="clarkdown:div"/>
      <ck:div v="||text-align=center"/>
    </w:sdtPr>
    <w:sdtContent>
      <w:p>
        <w:pPr>
          <w:jc w:val="center"/>
        </w:pPr>
        <w:fldSimple w:instr="PAGE">
          <w:r>
            <w:t>1</w:t>
          </w:r>
        </w:fldSimple>
      </w:p>
    </w:sdtContent>
  </w:sdt>
</w:ftr>
</file>

<file path=word/numbering.xml><?xml version="1.0" encoding="utf-8"?>
<w:numbering xmlns:w="http://schemas.openxmlformats.org/wordprocessingml/2006/main">
  <w:abstractNum w:abstractNumId="1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1."/>
      <w:lvlJc w:val="left"/>
      <w:pPr>
        <w:ind w:left="2880" w:hanging="360"/>
      </w:pPr>
    </w:lvl>
    <w:lvl w:ilvl="4">
      <w:start w:val="1"/>
      <w:numFmt w:val="decimal"/>
      <w:lvlText w:val="%2."/>
      <w:lvlJc w:val="left"/>
      <w:pPr>
        <w:ind w:left="3600" w:hanging="360"/>
      </w:pPr>
    </w:lvl>
    <w:lvl w:ilvl="5">
      <w:start w:val="1"/>
      <w:numFmt w:val="decimal"/>
      <w:lvlText w:val="%3."/>
      <w:lvlJc w:val="left"/>
      <w:pPr>
        <w:ind w:left="4320" w:hanging="360"/>
      </w:pPr>
    </w:lvl>
    <w:lvl w:ilvl="6">
      <w:start w:val="1"/>
      <w:numFmt w:val="decimal"/>
      <w:lvlText w:val="%1."/>
      <w:lvlJc w:val="left"/>
      <w:pPr>
        <w:ind w:left="5040" w:hanging="360"/>
      </w:pPr>
    </w:lvl>
    <w:lvl w:ilvl="7">
      <w:start w:val="1"/>
      <w:numFmt w:val="decimal"/>
      <w:lvlText w:val="%2."/>
      <w:lvlJc w:val="left"/>
      <w:pPr>
        <w:ind w:left="5760" w:hanging="360"/>
      </w:pPr>
    </w:lvl>
    <w:lvl w:ilvl="8">
      <w:start w:val="1"/>
      <w:numFmt w:val="decimal"/>
      <w:lvlText w:val="%3."/>
      <w:lvlJc w:val="left"/>
      <w:pPr>
        <w:ind w:left="6480" w:hanging="360"/>
      </w:pPr>
    </w:lvl>
  </w:abstractNum>
  <w:abstractNum w:abstractNumId="3">
    <w:multiLevelType w:val="hybridMultilevel"/>
    <w:lvl w:ilvl="0">
      <w:start w:val="1"/>
      <w:numFmt w:val="bullet"/>
      <w:lvlText w:val="☐"/>
      <w:lvlJc w:val="left"/>
      <w:pPr>
        <w:ind w:left="720" w:hanging="360"/>
      </w:pPr>
    </w:lvl>
    <w:lvl w:ilvl="1">
      <w:start w:val="1"/>
      <w:numFmt w:val="bullet"/>
      <w:lvlText w:val="☐"/>
      <w:lvlJc w:val="left"/>
      <w:pPr>
        <w:ind w:left="1440" w:hanging="360"/>
      </w:pPr>
    </w:lvl>
    <w:lvl w:ilvl="2">
      <w:start w:val="1"/>
      <w:numFmt w:val="bullet"/>
      <w:lvlText w:val="☐"/>
      <w:lvlJc w:val="left"/>
      <w:pPr>
        <w:ind w:left="2160" w:hanging="360"/>
      </w:pPr>
    </w:lvl>
    <w:lvl w:ilvl="3">
      <w:start w:val="1"/>
      <w:numFmt w:val="bullet"/>
      <w:lvlText w:val="☐"/>
      <w:lvlJc w:val="left"/>
      <w:pPr>
        <w:ind w:left="2880" w:hanging="360"/>
      </w:pPr>
    </w:lvl>
    <w:lvl w:ilvl="4">
      <w:start w:val="1"/>
      <w:numFmt w:val="bullet"/>
      <w:lvlText w:val="☐"/>
      <w:lvlJc w:val="left"/>
      <w:pPr>
        <w:ind w:left="3600" w:hanging="360"/>
      </w:pPr>
    </w:lvl>
    <w:lvl w:ilvl="5">
      <w:start w:val="1"/>
      <w:numFmt w:val="bullet"/>
      <w:lvlText w:val="☐"/>
      <w:lvlJc w:val="left"/>
      <w:pPr>
        <w:ind w:left="4320" w:hanging="360"/>
      </w:pPr>
    </w:lvl>
    <w:lvl w:ilvl="6">
      <w:start w:val="1"/>
      <w:numFmt w:val="bullet"/>
      <w:lvlText w:val="☐"/>
      <w:lvlJc w:val="left"/>
      <w:pPr>
        <w:ind w:left="5040" w:hanging="360"/>
      </w:pPr>
    </w:lvl>
    <w:lvl w:ilvl="7">
      <w:start w:val="1"/>
      <w:numFmt w:val="bullet"/>
      <w:lvlText w:val="☐"/>
      <w:lvlJc w:val="left"/>
      <w:pPr>
        <w:ind w:left="5760" w:hanging="360"/>
      </w:pPr>
    </w:lvl>
    <w:lvl w:ilvl="8">
      <w:start w:val="1"/>
      <w:numFmt w:val="bullet"/>
      <w:lvlText w:val="☐"/>
      <w:lvlJc w:val="left"/>
      <w:pPr>
        <w:ind w:left="6480" w:hanging="360"/>
      </w:pPr>
    </w:lvl>
  </w:abstractNum>
  <w:abstractNum w:abstractNumId="4">
    <w:multiLevelType w:val="hybridMultilevel"/>
    <w:lvl w:ilvl="0">
      <w:start w:val="1"/>
      <w:numFmt w:val="bullet"/>
      <w:lvlText w:val="☑"/>
      <w:lvlJc w:val="left"/>
      <w:pPr>
        <w:ind w:left="720" w:hanging="360"/>
      </w:pPr>
    </w:lvl>
    <w:lvl w:ilvl="1">
      <w:start w:val="1"/>
      <w:numFmt w:val="bullet"/>
      <w:lvlText w:val="☑"/>
      <w:lvlJc w:val="left"/>
      <w:pPr>
        <w:ind w:left="1440" w:hanging="360"/>
      </w:pPr>
    </w:lvl>
    <w:lvl w:ilvl="2">
      <w:start w:val="1"/>
      <w:numFmt w:val="bullet"/>
      <w:lvlText w:val="☑"/>
      <w:lvlJc w:val="left"/>
      <w:pPr>
        <w:ind w:left="2160" w:hanging="360"/>
      </w:pPr>
    </w:lvl>
    <w:lvl w:ilvl="3">
      <w:start w:val="1"/>
      <w:numFmt w:val="bullet"/>
      <w:lvlText w:val="☑"/>
      <w:lvlJc w:val="left"/>
      <w:pPr>
        <w:ind w:left="2880" w:hanging="360"/>
      </w:pPr>
    </w:lvl>
    <w:lvl w:ilvl="4">
      <w:start w:val="1"/>
      <w:numFmt w:val="bullet"/>
      <w:lvlText w:val="☑"/>
      <w:lvlJc w:val="left"/>
      <w:pPr>
        <w:ind w:left="3600" w:hanging="360"/>
      </w:pPr>
    </w:lvl>
    <w:lvl w:ilvl="5">
      <w:start w:val="1"/>
      <w:numFmt w:val="bullet"/>
      <w:lvlText w:val="☑"/>
      <w:lvlJc w:val="left"/>
      <w:pPr>
        <w:ind w:left="4320" w:hanging="360"/>
      </w:pPr>
    </w:lvl>
    <w:lvl w:ilvl="6">
      <w:start w:val="1"/>
      <w:numFmt w:val="bullet"/>
      <w:lvlText w:val="☑"/>
      <w:lvlJc w:val="left"/>
      <w:pPr>
        <w:ind w:left="5040" w:hanging="360"/>
      </w:pPr>
    </w:lvl>
    <w:lvl w:ilvl="7">
      <w:start w:val="1"/>
      <w:numFmt w:val="bullet"/>
      <w:lvlText w:val="☑"/>
      <w:lvlJc w:val="left"/>
      <w:pPr>
        <w:ind w:left="5760" w:hanging="360"/>
      </w:pPr>
    </w:lvl>
    <w:lvl w:ilvl="8">
      <w:start w:val="1"/>
      <w:numFmt w:val="bullet"/>
      <w:lvlText w:val="☑"/>
      <w:lvlJc w:val="left"/>
      <w:pPr>
        <w:ind w:left="6480" w:hanging="360"/>
      </w:pPr>
    </w:lvl>
  </w:abstractNum>
  <w:num w:numId="1">
    <w:abstractNumId w:val="1"/>
  </w:num>
  <w:num w:numId="2">
    <w:abstractNumId w:val="1"/>
  </w:num>
</w:numbering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312" w:lineRule="auto"/>
      </w:pPr>
    </w:pPrDefault>
  </w:docDefaults>
  <w:style w:type="paragraph" w:styleId="Normal" w:default="1">
    <w:name w:val="Normal"/>
  </w:style>
  <w:style w:type="paragraph" w:styleId="Heading1" w:default="0">
    <w:name w:val="heading 1"/>
    <w:basedOn w:val="Normal"/>
    <w:next w:val="Normal"/>
    <w:pPr>
      <w:keepNext/>
      <w:keepLines/>
      <w:spacing w:before="320" w:line="264" w:lineRule="auto"/>
      <w:outlineLvl w:val="0"/>
    </w:pPr>
    <w:rPr>
      <w:rFonts w:ascii="Calibri Light" w:hAnsi="Calibri Light"/>
      <w:b/>
      <w:color w:val="1A1A1A"/>
      <w:sz w:val="43"/>
      <w:szCs w:val="43"/>
    </w:rPr>
  </w:style>
  <w:style w:type="paragraph" w:styleId="Heading2" w:default="0">
    <w:name w:val="heading 2"/>
    <w:basedOn w:val="Normal"/>
    <w:next w:val="Normal"/>
    <w:pPr>
      <w:keepNext/>
      <w:keepLines/>
      <w:spacing w:before="320" w:line="264" w:lineRule="auto"/>
      <w:outlineLvl w:val="1"/>
    </w:pPr>
    <w:rPr>
      <w:rFonts w:ascii="Calibri Light" w:hAnsi="Calibri Light"/>
      <w:b/>
      <w:sz w:val="34"/>
      <w:szCs w:val="34"/>
    </w:rPr>
  </w:style>
  <w:style w:type="paragraph" w:styleId="Heading3" w:default="0">
    <w:name w:val="heading 3"/>
    <w:basedOn w:val="Normal"/>
    <w:next w:val="Normal"/>
    <w:pPr>
      <w:keepNext/>
      <w:keepLines/>
      <w:spacing w:before="160" w:line="264" w:lineRule="auto"/>
      <w:outlineLvl w:val="2"/>
    </w:pPr>
    <w:rPr>
      <w:rFonts w:ascii="Calibri Light" w:hAnsi="Calibri Light"/>
      <w:b/>
      <w:sz w:val="28"/>
      <w:szCs w:val="28"/>
    </w:rPr>
  </w:style>
  <w:style w:type="paragraph" w:styleId="Heading4" w:default="0">
    <w:name w:val="heading 4"/>
    <w:basedOn w:val="Normal"/>
    <w:next w:val="Normal"/>
    <w:pPr>
      <w:keepNext/>
      <w:keepLines/>
      <w:spacing w:before="160" w:line="264" w:lineRule="auto"/>
      <w:outlineLvl w:val="3"/>
    </w:pPr>
    <w:rPr>
      <w:rFonts w:ascii="Calibri Light" w:hAnsi="Calibri Light"/>
      <w:b/>
      <w:sz w:val="22"/>
      <w:szCs w:val="22"/>
    </w:rPr>
  </w:style>
  <w:style w:type="paragraph" w:styleId="Heading5" w:default="0">
    <w:name w:val="heading 5"/>
    <w:basedOn w:val="Normal"/>
    <w:next w:val="Normal"/>
    <w:pPr>
      <w:keepNext/>
      <w:keepLines/>
      <w:spacing w:before="160" w:line="264" w:lineRule="auto"/>
      <w:outlineLvl w:val="4"/>
    </w:pPr>
    <w:rPr>
      <w:rFonts w:ascii="Calibri Light" w:hAnsi="Calibri Light"/>
      <w:b/>
      <w:sz w:val="22"/>
      <w:szCs w:val="22"/>
    </w:rPr>
  </w:style>
  <w:style w:type="paragraph" w:styleId="Heading6" w:default="0">
    <w:name w:val="heading 6"/>
    <w:basedOn w:val="Normal"/>
    <w:next w:val="Normal"/>
    <w:pPr>
      <w:keepNext/>
      <w:keepLines/>
      <w:spacing w:before="160" w:line="264" w:lineRule="auto"/>
      <w:outlineLvl w:val="5"/>
    </w:pPr>
    <w:rPr>
      <w:rFonts w:ascii="Calibri Light" w:hAnsi="Calibri Light"/>
      <w:b/>
      <w:sz w:val="22"/>
      <w:szCs w:val="22"/>
    </w:rPr>
  </w:style>
  <w:style w:type="paragraph" w:styleId="Quote" w:default="0">
    <w:name w:val="Quote"/>
    <w:basedOn w:val="Normal"/>
    <w:pPr>
      <w:ind w:left="320"/>
      <w:pBdr>
        <w:left w:val="single" w:sz="24" w:space="12" w:color="BFBFBF"/>
      </w:pBdr>
    </w:pPr>
    <w:rPr>
      <w:i/>
      <w:color w:val="595959"/>
    </w:rPr>
  </w:style>
  <w:style w:type="character" w:styleId="CkHighlight">
    <w:name w:val="Clarkdown Highlight"/>
    <w:rPr>
      <w:shd w:val="clear" w:fill="FFF2A8"/>
    </w:rPr>
  </w:style>
  <w:style w:type="character" w:styleId="CkSmallcaps">
    <w:name w:val="Clarkdown Smallcaps"/>
    <w:rPr>
      <w:smallCaps/>
    </w:rPr>
  </w:style>
  <w:style w:type="character" w:styleId="CkUnderline">
    <w:name w:val="Clarkdown Underline"/>
    <w:rPr>
      <w:u w:val="single"/>
    </w:rPr>
  </w:style>
  <w:style w:type="character" w:styleId="CkMuted">
    <w:name w:val="Clarkdown Muted"/>
    <w:rPr>
      <w:color w:val="595959"/>
    </w:rPr>
  </w:style>
  <w:style w:type="character" w:styleId="CkAccent">
    <w:name w:val="Clarkdown Accent"/>
    <w:rPr>
      <w:color w:val="1A1A1A"/>
    </w:rPr>
  </w:style>
  <w:style w:type="character" w:styleId="CkCaption">
    <w:name w:val="Clarkdown Caption"/>
    <w:rPr>
      <w:i/>
      <w:color w:val="595959"/>
      <w:sz w:val="20"/>
      <w:szCs w:val="20"/>
    </w:rPr>
  </w:style>
  <w:style w:type="paragraph" w:styleId="CkDisplay" w:default="0">
    <w:name w:val="Clarkdown Display"/>
    <w:basedOn w:val="Normal"/>
    <w:next w:val="Normal"/>
    <w:pPr>
      <w:keepNext/>
      <w:keepLines/>
      <w:spacing w:after="240" w:line="264" w:lineRule="auto"/>
    </w:pPr>
    <w:rPr>
      <w:rFonts w:ascii="Calibri Light" w:hAnsi="Calibri Light"/>
      <w:b/>
      <w:color w:val="1A1A1A"/>
      <w:sz w:val="132"/>
      <w:szCs w:val="132"/>
    </w:rPr>
  </w:style>
  <w:style w:type="character" w:styleId="CkKicker">
    <w:name w:val="Clarkdown Kicker"/>
    <w:rPr>
      <w:smallCaps/>
      <w:spacing w:val="18"/>
      <w:color w:val="595959"/>
    </w:rPr>
  </w:style>
  <w:style w:type="paragraph" w:styleId="CkTrackedCaps" w:default="0">
    <w:name w:val="Clarkdown Tracked Caps"/>
    <w:basedOn w:val="Normal"/>
    <w:next w:val="Normal"/>
    <w:rPr>
      <w:smallCaps/>
      <w:spacing w:val="18"/>
    </w:rPr>
  </w:style>
  <w:style w:type="paragraph" w:styleId="Title" w:default="0">
    <w:name w:val="Title"/>
    <w:basedOn w:val="Normal"/>
    <w:next w:val="Normal"/>
    <w:pPr>
      <w:keepNext/>
      <w:keepLines/>
      <w:spacing w:after="240" w:line="264" w:lineRule="auto"/>
    </w:pPr>
    <w:rPr>
      <w:rFonts w:ascii="Calibri Light" w:hAnsi="Calibri Light"/>
      <w:b/>
      <w:sz w:val="54"/>
      <w:szCs w:val="54"/>
    </w:rPr>
  </w:style>
  <w:style w:type="character" w:styleId="Hyperlink">
    <w:name w:val="Hyperlink"/>
    <w:rPr>
      <w:color w:val="1A1A1A"/>
      <w:u w:val="single"/>
    </w:rPr>
  </w:style>
  <w:style w:type="paragraph" w:styleId="CkCodeBlock" w:default="0">
    <w:name w:val="Clarkdown Code Block"/>
    <w:basedOn w:val="Normal"/>
    <w:pPr>
      <w:shd w:val="clear" w:fill="EDEDED"/>
      <w:spacing w:after="0" w:line="240" w:lineRule="auto"/>
    </w:pPr>
    <w:rPr>
      <w:rFonts w:ascii="Consolas" w:hAnsi="Consolas"/>
      <w:noProof/>
      <w:sz w:val="20"/>
    </w:rPr>
  </w:style>
  <w:style w:type="character" w:styleId="CkCode">
    <w:name w:val="Clarkdown Code"/>
    <w:rPr>
      <w:rFonts w:ascii="Consolas" w:hAnsi="Consolas"/>
      <w:shd w:val="clear" w:fill="EDEDED"/>
      <w:sz w:val="20"/>
    </w:rPr>
  </w:style>
  <w:style w:type="paragraph" w:styleId="Caption" w:default="0">
    <w:name w:val="caption"/>
    <w:basedOn w:val="Normal"/>
    <w:rPr>
      <w:i/>
      <w:sz w:val="18"/>
    </w:rPr>
  </w:style>
  <w:style w:type="paragraph" w:styleId="ListParagraph" w:default="0">
    <w:name w:val="List Paragraph"/>
    <w:basedOn w:val="Normal"/>
    <w:pPr>
      <w:ind w:left="320"/>
    </w:pPr>
  </w:style>
  <w:style w:type="paragraph" w:styleId="CkUnknown" w:default="0">
    <w:name w:val="Clarkdown Unknown"/>
    <w:basedOn w:val="Normal"/>
    <w:pPr>
      <w:shd w:val="clear" w:fill="FFEEEE"/>
    </w:pPr>
  </w:style>
  <w:style w:type="paragraph" w:styleId="FootnoteText" w:default="0">
    <w:name w:val="footnote text"/>
    <w:basedOn w:val="Normal"/>
    <w:rPr>
      <w:sz w:val="18"/>
    </w:rPr>
  </w:style>
  <w:style w:type="character" w:styleId="FootnoteReference">
    <w:name w:val="footnote reference"/>
    <w:rPr>
      <w:vertAlign w:val="superscript"/>
    </w:rPr>
  </w:style>
  <w:style w:type="table" w:styleId="CkTable">
    <w:name w:val="Clarkdown Table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styleId="CkLayout">
    <w:name w:val="Clarkdown Layout"/>
    <w:tblPr>
      <w:tblBorders>
        <w:top w:val="none"/>
        <w:left w:val="none"/>
        <w:bottom w:val="none"/>
        <w:right w:val="none"/>
        <w:insideH w:val="none"/>
        <w:insideV w:val="none"/>
      </w:tblBorders>
    </w:tblPr>
  </w:style>
  <w:style w:type="paragraph" w:styleId="CkNote" w:default="0">
    <w:name w:val="Clarkdown Note"/>
    <w:basedOn w:val="Normal"/>
    <w:pPr>
      <w:pBdr>
        <w:left w:val="single" w:sz="24" w:space="8" w:color="2F6FEB"/>
      </w:pBdr>
      <w:ind w:left="240"/>
    </w:pPr>
  </w:style>
  <w:style w:type="paragraph" w:styleId="CkTip" w:default="0">
    <w:name w:val="Clarkdown Tip"/>
    <w:basedOn w:val="Normal"/>
    <w:pPr>
      <w:pBdr>
        <w:left w:val="single" w:sz="24" w:space="8" w:color="1A7F37"/>
      </w:pBdr>
      <w:ind w:left="240"/>
    </w:pPr>
  </w:style>
  <w:style w:type="paragraph" w:styleId="CkWarning" w:default="0">
    <w:name w:val="Clarkdown Warning"/>
    <w:basedOn w:val="Normal"/>
    <w:pPr>
      <w:pBdr>
        <w:left w:val="single" w:sz="24" w:space="8" w:color="9A6700"/>
      </w:pBdr>
      <w:ind w:left="240"/>
    </w:pPr>
  </w:style>
  <w:style w:type="paragraph" w:styleId="CkImportant" w:default="0">
    <w:name w:val="Clarkdown Important"/>
    <w:basedOn w:val="Normal"/>
    <w:pPr>
      <w:pBdr>
        <w:left w:val="single" w:sz="24" w:space="8" w:color="8250DF"/>
      </w:pBdr>
      <w:ind w:left="240"/>
    </w:pPr>
  </w:style>
  <w:style w:type="paragraph" w:styleId="CkCaution" w:default="0">
    <w:name w:val="Clarkdown Caution"/>
    <w:basedOn w:val="Normal"/>
    <w:pPr>
      <w:pBdr>
        <w:left w:val="single" w:sz="24" w:space="8" w:color="CF222E"/>
      </w:pBdr>
      <w:ind w:left="240"/>
    </w:p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Fonts" Type="http://schemas.openxmlformats.org/officeDocument/2006/relationships/fontTable" Target="fontTable.xml"/><Relationship Id="rIdSettings" Type="http://schemas.openxmlformats.org/officeDocument/2006/relationships/settings" Target="settings.xml"/><Relationship Id="rIdHf1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