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body>
    <w:p>
      <w:pPr>
        <w:pStyle w:val="Title"/>
        <ck:id v="section"/>
      </w:pPr>
      <w:bookmarkStart w:id="0" w:name="section"/>
      <w:r>
        <w:t>Техническое задание на разработку проекта перепланировки</w:t>
      </w:r>
      <w:bookmarkEnd w:id="0"/>
    </w:p>
    <w:p>
      <w:r>
        <w:rPr>
          <w:rStyle w:val="CkMuted"/>
        </w:rPr>
        <w:t>Приложение № 1 к договору на разработку проектной документации · образец, форма свободная</w:t>
      </w:r>
    </w:p>
    <w:p>
      <w:pPr>
        <w:pStyle w:val="Heading2"/>
        <ck:id v="1"/>
      </w:pPr>
      <w:bookmarkStart w:id="1" w:name="_1"/>
      <w:r>
        <w:t>1. Сведения об объекте</w:t>
      </w:r>
      <w:bookmarkEnd w:id="1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Адрес</w:t>
            </w:r>
          </w:p>
        </w:tc>
        <w:tc>
          <w:tcPr/>
          <w:p/>
        </w:tc>
      </w:tr>
      <w:tr>
        <w:tc>
          <w:tcPr/>
          <w:p>
            <w:r>
              <w:t>Кадастровый номер</w:t>
            </w:r>
          </w:p>
        </w:tc>
        <w:tc>
          <w:tcPr/>
          <w:p/>
        </w:tc>
      </w:tr>
      <w:tr>
        <w:tc>
          <w:tcPr/>
          <w:p>
            <w:r>
              <w:t>Назначение помещения</w:t>
            </w:r>
          </w:p>
        </w:tc>
        <w:tc>
          <w:tcPr/>
          <w:p/>
        </w:tc>
      </w:tr>
      <w:tr>
        <w:tc>
          <w:tcPr/>
          <w:p>
            <w:r>
              <w:t>Площадь по ЕГРН, кв. м</w:t>
            </w:r>
          </w:p>
        </w:tc>
        <w:tc>
          <w:tcPr/>
          <w:p/>
        </w:tc>
      </w:tr>
      <w:tr>
        <w:tc>
          <w:tcPr/>
          <w:p>
            <w:r>
              <w:t>Этаж, номера помещений по экспликации</w:t>
            </w:r>
          </w:p>
        </w:tc>
        <w:tc>
          <w:tcPr/>
          <w:p/>
        </w:tc>
      </w:tr>
      <w:tr>
        <w:tc>
          <w:tcPr/>
          <w:p>
            <w:r>
              <w:t>Год постройки, тип здания</w:t>
            </w:r>
          </w:p>
        </w:tc>
        <w:tc>
          <w:tcPr/>
          <w:p/>
        </w:tc>
      </w:tr>
      <w:tr>
        <w:tc>
          <w:tcPr/>
          <w:p>
            <w:r>
              <w:t>Правообладатель</w:t>
            </w:r>
          </w:p>
        </w:tc>
        <w:tc>
          <w:tcPr/>
          <w:p/>
        </w:tc>
      </w:tr>
      <w:tr>
        <w:tc>
          <w:tcPr/>
          <w:p>
            <w:r>
              <w:t>Основание владения</w:t>
            </w:r>
          </w:p>
        </w:tc>
        <w:tc>
          <w:tcPr/>
          <w:p>
            <w:r>
              <w:t>собственность / аренда</w:t>
            </w:r>
          </w:p>
        </w:tc>
      </w:tr>
    </w:tbl>
    <w:p>
      <w:pPr>
        <w:pStyle w:val="Heading2"/>
        <ck:id v="2"/>
      </w:pPr>
      <w:bookmarkStart w:id="2" w:name="_2"/>
      <w:r>
        <w:t>2. Основание для разработки</w:t>
      </w:r>
      <w:bookmarkEnd w:id="2"/>
    </w:p>
    <w:p>
      <w:r>
        <w:t>Договор № _______ от «___» __________ 20__ г. Проект разрабатывается для согласования перепланировки и (или) переустройства в уполномоченном органе и последующего внесения изменений в сведения ЕГРН.</w:t>
      </w:r>
    </w:p>
    <w:p>
      <w:pPr>
        <w:pStyle w:val="Heading2"/>
        <ck:id v="3"/>
      </w:pPr>
      <w:bookmarkStart w:id="3" w:name="_3"/>
      <w:r>
        <w:t>3. Состав планируемых работ</w:t>
      </w:r>
      <w:bookmarkEnd w:id="3"/>
    </w:p>
    <w:p>
      <w:r>
        <w:t>Отметьте нужное и опишите словами то, что не укладывается в перечень.</w:t>
      </w:r>
    </w:p>
    <w:p>
      <w:pPr>
        <w:pStyle w:val="ListParagraph"/>
        <w:numPr>
          <w:ilvl w:val="0"/>
          <w:numId w:val="1"/>
        </w:numPr>
      </w:pPr>
      <w:r>
        <w:t>демонтаж ненесущих перегородок;</w:t>
      </w:r>
    </w:p>
    <w:p>
      <w:pPr>
        <w:pStyle w:val="ListParagraph"/>
        <w:numPr>
          <w:ilvl w:val="0"/>
          <w:numId w:val="1"/>
        </w:numPr>
      </w:pPr>
      <w:r>
        <w:t>возведение новых перегородок;</w:t>
      </w:r>
    </w:p>
    <w:p>
      <w:pPr>
        <w:pStyle w:val="ListParagraph"/>
        <w:numPr>
          <w:ilvl w:val="0"/>
          <w:numId w:val="1"/>
        </w:numPr>
      </w:pPr>
      <w:r>
        <w:t>устройство или заделка проёма в несущей стене;</w:t>
      </w:r>
    </w:p>
    <w:p>
      <w:pPr>
        <w:pStyle w:val="ListParagraph"/>
        <w:numPr>
          <w:ilvl w:val="0"/>
          <w:numId w:val="1"/>
        </w:numPr>
      </w:pPr>
      <w:r>
        <w:t>устройство антресоли;</w:t>
      </w:r>
    </w:p>
    <w:p>
      <w:pPr>
        <w:pStyle w:val="ListParagraph"/>
        <w:numPr>
          <w:ilvl w:val="0"/>
          <w:numId w:val="1"/>
        </w:numPr>
      </w:pPr>
      <w:r>
        <w:t>изменение конфигурации входной группы, устройство отдельного входа;</w:t>
      </w:r>
    </w:p>
    <w:p>
      <w:pPr>
        <w:pStyle w:val="ListParagraph"/>
        <w:numPr>
          <w:ilvl w:val="0"/>
          <w:numId w:val="1"/>
        </w:numPr>
      </w:pPr>
      <w:r>
        <w:t>перенос или устройство санузлов, изменение точек водоснабжения и канализации;</w:t>
      </w:r>
    </w:p>
    <w:p>
      <w:pPr>
        <w:pStyle w:val="ListParagraph"/>
        <w:numPr>
          <w:ilvl w:val="0"/>
          <w:numId w:val="1"/>
        </w:numPr>
      </w:pPr>
      <w:r>
        <w:t>перенос или замена инженерного оборудования;</w:t>
      </w:r>
    </w:p>
    <w:p>
      <w:pPr>
        <w:pStyle w:val="ListParagraph"/>
        <w:numPr>
          <w:ilvl w:val="0"/>
          <w:numId w:val="1"/>
        </w:numPr>
      </w:pPr>
      <w:r>
        <w:t>изменение схемы эвакуации, перенос эвакуационных выходов;</w:t>
      </w:r>
    </w:p>
    <w:p>
      <w:pPr>
        <w:pStyle w:val="ListParagraph"/>
        <w:numPr>
          <w:ilvl w:val="0"/>
          <w:numId w:val="1"/>
        </w:numPr>
      </w:pPr>
      <w:r>
        <w:t>иное: ____________________________________________.</w:t>
      </w:r>
    </w:p>
    <w:p>
      <w:pPr>
        <w:pStyle w:val="Heading2"/>
        <ck:id v="4"/>
      </w:pPr>
      <w:bookmarkStart w:id="4" w:name="_4"/>
      <w:r>
        <w:t>4. Требования к проектным решениям</w:t>
      </w:r>
      <w:bookmarkEnd w:id="4"/>
    </w:p>
    <w:p>
      <w:r>
        <w:t>4.1. Планировочные решения принимаются в соответствии с действующими строительными, санитарными и противопожарными нормами.</w:t>
      </w:r>
    </w:p>
    <w:p>
      <w:r>
        <w:t>4.2. Затрагивание несущих конструкций допускается только при наличии технического заключения о состоянии несущих конструкций и решениях по их усилению.</w:t>
      </w:r>
    </w:p>
    <w:p>
      <w:r>
        <w:t>4.3. Не допускаются решения, ухудшающие условия эксплуатации здания и проживания граждан, а также затрагивающие общее имущество без соответствующего решения собственников.</w:t>
      </w:r>
    </w:p>
    <w:p>
      <w:r>
        <w:t>4.4. Проект должен быть увязан с фактическим состоянием объекта, зафиксированным по результатам обмеров.</w:t>
      </w:r>
    </w:p>
    <w:p>
      <w:pPr>
        <w:pStyle w:val="Heading2"/>
        <ck:id v="5"/>
      </w:pPr>
      <w:bookmarkStart w:id="5" w:name="_5"/>
      <w:r>
        <w:t>5. Состав проектной документации</w:t>
      </w:r>
      <w:bookmarkEnd w:id="5"/>
    </w:p>
    <w:p>
      <w:pPr>
        <w:pStyle w:val="ListParagraph"/>
        <w:numPr>
          <w:ilvl w:val="0"/>
          <w:numId w:val="2"/>
        </w:numPr>
      </w:pPr>
      <w:r>
        <w:t>общие данные, ведомость чертежей;</w:t>
      </w:r>
    </w:p>
    <w:p>
      <w:pPr>
        <w:pStyle w:val="ListParagraph"/>
        <w:numPr>
          <w:ilvl w:val="0"/>
          <w:numId w:val="2"/>
        </w:numPr>
      </w:pPr>
      <w:r>
        <w:t>план до перепланировки с экспликацией;</w:t>
      </w:r>
    </w:p>
    <w:p>
      <w:pPr>
        <w:pStyle w:val="ListParagraph"/>
        <w:numPr>
          <w:ilvl w:val="0"/>
          <w:numId w:val="2"/>
        </w:numPr>
      </w:pPr>
      <w:r>
        <w:t>план после перепланировки с экспликацией;</w:t>
      </w:r>
    </w:p>
    <w:p>
      <w:pPr>
        <w:pStyle w:val="ListParagraph"/>
        <w:numPr>
          <w:ilvl w:val="0"/>
          <w:numId w:val="2"/>
        </w:numPr>
      </w:pPr>
      <w:r>
        <w:t>план демонтажа и монтажа перегородок;</w:t>
      </w:r>
    </w:p>
    <w:p>
      <w:pPr>
        <w:pStyle w:val="ListParagraph"/>
        <w:numPr>
          <w:ilvl w:val="0"/>
          <w:numId w:val="2"/>
        </w:numPr>
      </w:pPr>
      <w:r>
        <w:t>узлы и разрезы по затрагиваемым конструкциям;</w:t>
      </w:r>
    </w:p>
    <w:p>
      <w:pPr>
        <w:pStyle w:val="ListParagraph"/>
        <w:numPr>
          <w:ilvl w:val="0"/>
          <w:numId w:val="2"/>
        </w:numPr>
      </w:pPr>
      <w:r>
        <w:t>решения по инженерным сетям (при их изменении);</w:t>
      </w:r>
    </w:p>
    <w:p>
      <w:pPr>
        <w:pStyle w:val="ListParagraph"/>
        <w:numPr>
          <w:ilvl w:val="0"/>
          <w:numId w:val="2"/>
        </w:numPr>
      </w:pPr>
      <w:r>
        <w:t>схема эвакуации (при её изменении);</w:t>
      </w:r>
    </w:p>
    <w:p>
      <w:pPr>
        <w:pStyle w:val="ListParagraph"/>
        <w:numPr>
          <w:ilvl w:val="0"/>
          <w:numId w:val="2"/>
        </w:numPr>
      </w:pPr>
      <w:r>
        <w:t>мероприятия по пожарной безопасности;</w:t>
      </w:r>
    </w:p>
    <w:p>
      <w:pPr>
        <w:pStyle w:val="ListParagraph"/>
        <w:numPr>
          <w:ilvl w:val="0"/>
          <w:numId w:val="2"/>
        </w:numPr>
      </w:pPr>
      <w:r>
        <w:t>сведения о лице, разработавшем проект, и допуске.</w:t>
      </w:r>
    </w:p>
    <w:p>
      <w:pPr>
        <w:pStyle w:val="Heading2"/>
        <ck:id v="6"/>
      </w:pPr>
      <w:bookmarkStart w:id="6" w:name="_6"/>
      <w:r>
        <w:t>6. Исходные данные, передаваемые заказчиком</w:t>
      </w:r>
      <w:bookmarkEnd w:id="6"/>
    </w:p>
    <w:p>
      <w:pPr>
        <w:pStyle w:val="ListParagraph"/>
        <w:numPr>
          <w:ilvl w:val="0"/>
          <w:numId w:val="3"/>
        </w:numPr>
      </w:pPr>
      <w:r>
        <w:t>выписка из ЕГРН об объекте недвижимости с графической частью;</w:t>
      </w:r>
    </w:p>
    <w:p>
      <w:pPr>
        <w:pStyle w:val="ListParagraph"/>
        <w:numPr>
          <w:ilvl w:val="0"/>
          <w:numId w:val="3"/>
        </w:numPr>
      </w:pPr>
      <w:r>
        <w:t>поэтажный план и экспликация;</w:t>
      </w:r>
    </w:p>
    <w:p>
      <w:pPr>
        <w:pStyle w:val="ListParagraph"/>
        <w:numPr>
          <w:ilvl w:val="0"/>
          <w:numId w:val="3"/>
        </w:numPr>
      </w:pPr>
      <w:r>
        <w:t>правоустанавливающие документы;</w:t>
      </w:r>
    </w:p>
    <w:p>
      <w:pPr>
        <w:pStyle w:val="ListParagraph"/>
        <w:numPr>
          <w:ilvl w:val="0"/>
          <w:numId w:val="3"/>
        </w:numPr>
      </w:pPr>
      <w:r>
        <w:t>согласие собственника, если работы выполняет арендатор;</w:t>
      </w:r>
    </w:p>
    <w:p>
      <w:pPr>
        <w:pStyle w:val="ListParagraph"/>
        <w:numPr>
          <w:ilvl w:val="0"/>
          <w:numId w:val="3"/>
        </w:numPr>
      </w:pPr>
      <w:r>
        <w:t>эскиз или описание желаемого планировочного решения.</w:t>
      </w:r>
    </w:p>
    <w:p>
      <w:pPr>
        <w:pStyle w:val="Heading2"/>
        <ck:id v="7"/>
      </w:pPr>
      <w:bookmarkStart w:id="7" w:name="_7"/>
      <w:r>
        <w:t>7. Порядок и форма передачи результата</w:t>
      </w:r>
      <w:bookmarkEnd w:id="7"/>
    </w:p>
    <w:p>
      <w:r>
        <w:t>Проектная документация передаётся в ____ экземплярах на бумажном носителе и в электронном виде в формате PDF. Чертежи дополнительно передаются в формате DWG по отдельному согласованию.</w:t>
      </w:r>
    </w:p>
    <w:p>
      <w:pPr>
        <w:pStyle w:val="Heading2"/>
        <ck:id v="8"/>
      </w:pPr>
      <w:bookmarkStart w:id="8" w:name="_8"/>
      <w:r>
        <w:t>8. Сроки</w:t>
      </w:r>
      <w:bookmarkEnd w:id="8"/>
    </w:p>
    <w:p>
      <w:r>
        <w:t>Срок разработки — ____ рабочих дней с даты передачи заказчиком полного комплекта исходных данных.</w:t>
      </w:r>
    </w:p>
    <w:p>
      <w:pPr>
        <w:pStyle w:val="Heading2"/>
        <ck:id v="9"/>
      </w:pPr>
      <w:bookmarkStart w:id="9" w:name="_9"/>
      <w:r>
        <w:t>9. Согласование задания</w:t>
      </w:r>
      <w:bookmarkEnd w:id="9"/>
    </w:p>
    <w:sdt>
      <w:sdtPr>
        <w:tag w:val="clarkdown:layout"/>
        <ck:layout v="row|2|4819,4819"/>
        <ck:layoutAttr v="||"/>
        <ck:layoutCell v="col:||w=1fr"/>
        <ck:layoutCell v="col:||w=1fr"/>
      </w:sdtPr>
      <w:sdtContent>
        <w:tbl>
          <w:tblPr>
            <w:tblStyle w:val="CkLayout"/>
            <w:tblW w:w="5000" w:type="pct"/>
            <w:tblLayout w:type="fixed"/>
          </w:tblPr>
          <w:tblGrid>
            <w:gridCol w:w="4819"/>
            <w:gridCol w:w="4819"/>
          </w:tblGrid>
          <w:tr>
            <w:tc>
              <w:tcPr>
                <w:tcW w:w="4819" w:type="dxa"/>
              </w:tcPr>
              <w:p>
                <w:r>
                  <w:rPr>
                    <w:b/>
                  </w:rPr>
                  <w:t>Заказчик</w:t>
                </w:r>
              </w:p>
              <w:p>
                <w:r>
                  <w:t>_______________ / _______________</w:t>
                </w:r>
              </w:p>
              <w:p>
                <w:r>
                  <w:t>«___» ____________ 20__ г.</w:t>
                </w:r>
              </w:p>
            </w:tc>
            <w:tc>
              <w:tcPr>
                <w:tcW w:w="4819" w:type="dxa"/>
              </w:tcPr>
              <w:p>
                <w:r>
                  <w:rPr>
                    <w:b/>
                  </w:rPr>
                  <w:t>Исполнитель</w:t>
                </w:r>
              </w:p>
              <w:p>
                <w:r>
                  <w:t>_______________ / _______________</w:t>
                </w:r>
              </w:p>
              <w:p>
                <w:r>
                  <w:t>«___» ____________ 20__ г.</w:t>
                </w:r>
              </w:p>
            </w:tc>
          </w:tr>
        </w:tbl>
      </w:sdtContent>
    </w:sdt>
    <w:sectPr>
      <ck:section v="1:||margins=2cm,size=a4"/>
      <w:footerReference w:type="default" r:id="rIdHf1"/>
      <w:pgSz w:w="11906" w:h="16838"/>
      <w:pgMar w:top="1134" w:right="1134" w:bottom="1134" w:left="1134" w:header="720" w:footer="720" w:gutter="0"/>
    </w:sectPr>
  </w:body>
</w:document>
</file>

<file path=word/fontTable.xml><?xml version="1.0" encoding="utf-8"?>
<w:fonts xmlns:w="http://schemas.openxmlformats.org/wordprocessingml/2006/main">
  <w:font w:name="Calibri">
    <w:family w:val="swiss"/>
  </w:font>
  <w:font w:name="Calibri Light">
    <w:family w:val="swiss"/>
  </w:font>
  <w:font w:name="Consolas">
    <w:family w:val="modern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sdt>
    <w:sdtPr>
      <w:tag w:val="clarkdown:div"/>
      <ck:div v="||text-align=center"/>
    </w:sdtPr>
    <w:sdtContent>
      <w:p>
        <w:pPr>
          <w:jc w:val="center"/>
        </w:pPr>
        <w:fldSimple w:instr="PAGE">
          <w:r>
            <w:t>1</w:t>
          </w:r>
        </w:fldSimple>
      </w:p>
    </w:sdtContent>
  </w:sdt>
</w:ftr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decimal"/>
      <w:lvlText w:val="%2."/>
      <w:lvlJc w:val="left"/>
      <w:pPr>
        <w:ind w:left="3600" w:hanging="360"/>
      </w:pPr>
    </w:lvl>
    <w:lvl w:ilvl="5">
      <w:start w:val="1"/>
      <w:numFmt w:val="decimal"/>
      <w:lvlText w:val="%3."/>
      <w:lvlJc w:val="left"/>
      <w:pPr>
        <w:ind w:left="4320" w:hanging="360"/>
      </w:pPr>
    </w:lvl>
    <w:lvl w:ilvl="6">
      <w:start w:val="1"/>
      <w:numFmt w:val="decimal"/>
      <w:lvlText w:val="%1."/>
      <w:lvlJc w:val="left"/>
      <w:pPr>
        <w:ind w:left="5040" w:hanging="360"/>
      </w:pPr>
    </w:lvl>
    <w:lvl w:ilvl="7">
      <w:start w:val="1"/>
      <w:numFmt w:val="decimal"/>
      <w:lvlText w:val="%2."/>
      <w:lvlJc w:val="left"/>
      <w:pPr>
        <w:ind w:left="5760" w:hanging="360"/>
      </w:pPr>
    </w:lvl>
    <w:lvl w:ilvl="8">
      <w:start w:val="1"/>
      <w:numFmt w:val="decimal"/>
      <w:lvlText w:val="%3."/>
      <w:lvlJc w:val="left"/>
      <w:pPr>
        <w:ind w:left="6480" w:hanging="360"/>
      </w:pPr>
    </w:lvl>
  </w:abstractNum>
  <w:abstractNum w:abstractNumId="3">
    <w:multiLevelType w:val="hybridMultilevel"/>
    <w:lvl w:ilvl="0">
      <w:start w:val="1"/>
      <w:numFmt w:val="bullet"/>
      <w:lvlText w:val="☐"/>
      <w:lvlJc w:val="left"/>
      <w:pPr>
        <w:ind w:left="720" w:hanging="360"/>
      </w:pPr>
    </w:lvl>
    <w:lvl w:ilvl="1">
      <w:start w:val="1"/>
      <w:numFmt w:val="bullet"/>
      <w:lvlText w:val="☐"/>
      <w:lvlJc w:val="left"/>
      <w:pPr>
        <w:ind w:left="1440" w:hanging="360"/>
      </w:pPr>
    </w:lvl>
    <w:lvl w:ilvl="2">
      <w:start w:val="1"/>
      <w:numFmt w:val="bullet"/>
      <w:lvlText w:val="☐"/>
      <w:lvlJc w:val="left"/>
      <w:pPr>
        <w:ind w:left="2160" w:hanging="360"/>
      </w:pPr>
    </w:lvl>
    <w:lvl w:ilvl="3">
      <w:start w:val="1"/>
      <w:numFmt w:val="bullet"/>
      <w:lvlText w:val="☐"/>
      <w:lvlJc w:val="left"/>
      <w:pPr>
        <w:ind w:left="2880" w:hanging="360"/>
      </w:pPr>
    </w:lvl>
    <w:lvl w:ilvl="4">
      <w:start w:val="1"/>
      <w:numFmt w:val="bullet"/>
      <w:lvlText w:val="☐"/>
      <w:lvlJc w:val="left"/>
      <w:pPr>
        <w:ind w:left="3600" w:hanging="360"/>
      </w:pPr>
    </w:lvl>
    <w:lvl w:ilvl="5">
      <w:start w:val="1"/>
      <w:numFmt w:val="bullet"/>
      <w:lvlText w:val="☐"/>
      <w:lvlJc w:val="left"/>
      <w:pPr>
        <w:ind w:left="4320" w:hanging="360"/>
      </w:pPr>
    </w:lvl>
    <w:lvl w:ilvl="6">
      <w:start w:val="1"/>
      <w:numFmt w:val="bullet"/>
      <w:lvlText w:val="☐"/>
      <w:lvlJc w:val="left"/>
      <w:pPr>
        <w:ind w:left="5040" w:hanging="360"/>
      </w:pPr>
    </w:lvl>
    <w:lvl w:ilvl="7">
      <w:start w:val="1"/>
      <w:numFmt w:val="bullet"/>
      <w:lvlText w:val="☐"/>
      <w:lvlJc w:val="left"/>
      <w:pPr>
        <w:ind w:left="5760" w:hanging="360"/>
      </w:pPr>
    </w:lvl>
    <w:lvl w:ilvl="8">
      <w:start w:val="1"/>
      <w:numFmt w:val="bullet"/>
      <w:lvlText w:val="☐"/>
      <w:lvlJc w:val="left"/>
      <w:pPr>
        <w:ind w:left="6480" w:hanging="360"/>
      </w:pPr>
    </w:lvl>
  </w:abstractNum>
  <w:abstractNum w:abstractNumId="4">
    <w:multiLevelType w:val="hybridMultilevel"/>
    <w:lvl w:ilvl="0">
      <w:start w:val="1"/>
      <w:numFmt w:val="bullet"/>
      <w:lvlText w:val="☑"/>
      <w:lvlJc w:val="left"/>
      <w:pPr>
        <w:ind w:left="720" w:hanging="360"/>
      </w:pPr>
    </w:lvl>
    <w:lvl w:ilvl="1">
      <w:start w:val="1"/>
      <w:numFmt w:val="bullet"/>
      <w:lvlText w:val="☑"/>
      <w:lvlJc w:val="left"/>
      <w:pPr>
        <w:ind w:left="1440" w:hanging="360"/>
      </w:pPr>
    </w:lvl>
    <w:lvl w:ilvl="2">
      <w:start w:val="1"/>
      <w:numFmt w:val="bullet"/>
      <w:lvlText w:val="☑"/>
      <w:lvlJc w:val="left"/>
      <w:pPr>
        <w:ind w:left="2160" w:hanging="360"/>
      </w:pPr>
    </w:lvl>
    <w:lvl w:ilvl="3">
      <w:start w:val="1"/>
      <w:numFmt w:val="bullet"/>
      <w:lvlText w:val="☑"/>
      <w:lvlJc w:val="left"/>
      <w:pPr>
        <w:ind w:left="2880" w:hanging="360"/>
      </w:pPr>
    </w:lvl>
    <w:lvl w:ilvl="4">
      <w:start w:val="1"/>
      <w:numFmt w:val="bullet"/>
      <w:lvlText w:val="☑"/>
      <w:lvlJc w:val="left"/>
      <w:pPr>
        <w:ind w:left="3600" w:hanging="360"/>
      </w:pPr>
    </w:lvl>
    <w:lvl w:ilvl="5">
      <w:start w:val="1"/>
      <w:numFmt w:val="bullet"/>
      <w:lvlText w:val="☑"/>
      <w:lvlJc w:val="left"/>
      <w:pPr>
        <w:ind w:left="4320" w:hanging="360"/>
      </w:pPr>
    </w:lvl>
    <w:lvl w:ilvl="6">
      <w:start w:val="1"/>
      <w:numFmt w:val="bullet"/>
      <w:lvlText w:val="☑"/>
      <w:lvlJc w:val="left"/>
      <w:pPr>
        <w:ind w:left="5040" w:hanging="360"/>
      </w:pPr>
    </w:lvl>
    <w:lvl w:ilvl="7">
      <w:start w:val="1"/>
      <w:numFmt w:val="bullet"/>
      <w:lvlText w:val="☑"/>
      <w:lvlJc w:val="left"/>
      <w:pPr>
        <w:ind w:left="5760" w:hanging="360"/>
      </w:pPr>
    </w:lvl>
    <w:lvl w:ilvl="8">
      <w:start w:val="1"/>
      <w:numFmt w:val="bullet"/>
      <w:lvlText w:val="☑"/>
      <w:lvlJc w:val="left"/>
      <w:pPr>
        <w:ind w:left="6480" w:hanging="360"/>
      </w:pPr>
    </w:lvl>
  </w:abstractNum>
  <w:num w:numId="1">
    <w:abstractNumId w:val="1"/>
  </w:num>
  <w:num w:numId="2">
    <w:abstractNumId w:val="1"/>
  </w:num>
  <w:num w:numId="3">
    <w:abstractNumId w:val="1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312" w:lineRule="auto"/>
      </w:pPr>
    </w:pPrDefault>
  </w:docDefaults>
  <w:style w:type="paragraph" w:styleId="Normal" w:default="1">
    <w:name w:val="Normal"/>
  </w:style>
  <w:style w:type="paragraph" w:styleId="Heading1" w:default="0">
    <w:name w:val="heading 1"/>
    <w:basedOn w:val="Normal"/>
    <w:next w:val="Normal"/>
    <w:pPr>
      <w:keepNext/>
      <w:keepLines/>
      <w:spacing w:before="320" w:line="264" w:lineRule="auto"/>
      <w:outlineLvl w:val="0"/>
    </w:pPr>
    <w:rPr>
      <w:rFonts w:ascii="Calibri Light" w:hAnsi="Calibri Light"/>
      <w:b/>
      <w:color w:val="1A1A1A"/>
      <w:sz w:val="43"/>
      <w:szCs w:val="43"/>
    </w:rPr>
  </w:style>
  <w:style w:type="paragraph" w:styleId="Heading2" w:default="0">
    <w:name w:val="heading 2"/>
    <w:basedOn w:val="Normal"/>
    <w:next w:val="Normal"/>
    <w:pPr>
      <w:keepNext/>
      <w:keepLines/>
      <w:spacing w:before="320" w:line="264" w:lineRule="auto"/>
      <w:outlineLvl w:val="1"/>
    </w:pPr>
    <w:rPr>
      <w:rFonts w:ascii="Calibri Light" w:hAnsi="Calibri Light"/>
      <w:b/>
      <w:sz w:val="34"/>
      <w:szCs w:val="34"/>
    </w:rPr>
  </w:style>
  <w:style w:type="paragraph" w:styleId="Heading3" w:default="0">
    <w:name w:val="heading 3"/>
    <w:basedOn w:val="Normal"/>
    <w:next w:val="Normal"/>
    <w:pPr>
      <w:keepNext/>
      <w:keepLines/>
      <w:spacing w:before="160" w:line="264" w:lineRule="auto"/>
      <w:outlineLvl w:val="2"/>
    </w:pPr>
    <w:rPr>
      <w:rFonts w:ascii="Calibri Light" w:hAnsi="Calibri Light"/>
      <w:b/>
      <w:sz w:val="28"/>
      <w:szCs w:val="28"/>
    </w:rPr>
  </w:style>
  <w:style w:type="paragraph" w:styleId="Heading4" w:default="0">
    <w:name w:val="heading 4"/>
    <w:basedOn w:val="Normal"/>
    <w:next w:val="Normal"/>
    <w:pPr>
      <w:keepNext/>
      <w:keepLines/>
      <w:spacing w:before="160" w:line="264" w:lineRule="auto"/>
      <w:outlineLvl w:val="3"/>
    </w:pPr>
    <w:rPr>
      <w:rFonts w:ascii="Calibri Light" w:hAnsi="Calibri Light"/>
      <w:b/>
      <w:sz w:val="22"/>
      <w:szCs w:val="22"/>
    </w:rPr>
  </w:style>
  <w:style w:type="paragraph" w:styleId="Heading5" w:default="0">
    <w:name w:val="heading 5"/>
    <w:basedOn w:val="Normal"/>
    <w:next w:val="Normal"/>
    <w:pPr>
      <w:keepNext/>
      <w:keepLines/>
      <w:spacing w:before="160" w:line="264" w:lineRule="auto"/>
      <w:outlineLvl w:val="4"/>
    </w:pPr>
    <w:rPr>
      <w:rFonts w:ascii="Calibri Light" w:hAnsi="Calibri Light"/>
      <w:b/>
      <w:sz w:val="22"/>
      <w:szCs w:val="22"/>
    </w:rPr>
  </w:style>
  <w:style w:type="paragraph" w:styleId="Heading6" w:default="0">
    <w:name w:val="heading 6"/>
    <w:basedOn w:val="Normal"/>
    <w:next w:val="Normal"/>
    <w:pPr>
      <w:keepNext/>
      <w:keepLines/>
      <w:spacing w:before="160" w:line="264" w:lineRule="auto"/>
      <w:outlineLvl w:val="5"/>
    </w:pPr>
    <w:rPr>
      <w:rFonts w:ascii="Calibri Light" w:hAnsi="Calibri Light"/>
      <w:b/>
      <w:sz w:val="22"/>
      <w:szCs w:val="22"/>
    </w:rPr>
  </w:style>
  <w:style w:type="paragraph" w:styleId="Quote" w:default="0">
    <w:name w:val="Quote"/>
    <w:basedOn w:val="Normal"/>
    <w:pPr>
      <w:ind w:left="320"/>
      <w:pBdr>
        <w:left w:val="single" w:sz="24" w:space="12" w:color="BFBFBF"/>
      </w:pBdr>
    </w:pPr>
    <w:rPr>
      <w:i/>
      <w:color w:val="595959"/>
    </w:rPr>
  </w:style>
  <w:style w:type="character" w:styleId="CkHighlight">
    <w:name w:val="Clarkdown Highlight"/>
    <w:rPr>
      <w:shd w:val="clear" w:fill="FFF2A8"/>
    </w:rPr>
  </w:style>
  <w:style w:type="character" w:styleId="CkSmallcaps">
    <w:name w:val="Clarkdown Smallcaps"/>
    <w:rPr>
      <w:smallCaps/>
    </w:rPr>
  </w:style>
  <w:style w:type="character" w:styleId="CkUnderline">
    <w:name w:val="Clarkdown Underline"/>
    <w:rPr>
      <w:u w:val="single"/>
    </w:rPr>
  </w:style>
  <w:style w:type="character" w:styleId="CkMuted">
    <w:name w:val="Clarkdown Muted"/>
    <w:rPr>
      <w:color w:val="595959"/>
    </w:rPr>
  </w:style>
  <w:style w:type="character" w:styleId="CkAccent">
    <w:name w:val="Clarkdown Accent"/>
    <w:rPr>
      <w:color w:val="1A1A1A"/>
    </w:rPr>
  </w:style>
  <w:style w:type="character" w:styleId="CkCaption">
    <w:name w:val="Clarkdown Caption"/>
    <w:rPr>
      <w:i/>
      <w:color w:val="595959"/>
      <w:sz w:val="20"/>
      <w:szCs w:val="20"/>
    </w:rPr>
  </w:style>
  <w:style w:type="paragraph" w:styleId="CkDisplay" w:default="0">
    <w:name w:val="Clarkdown Display"/>
    <w:basedOn w:val="Normal"/>
    <w:next w:val="Normal"/>
    <w:pPr>
      <w:keepNext/>
      <w:keepLines/>
      <w:spacing w:after="240" w:line="264" w:lineRule="auto"/>
    </w:pPr>
    <w:rPr>
      <w:rFonts w:ascii="Calibri Light" w:hAnsi="Calibri Light"/>
      <w:b/>
      <w:color w:val="1A1A1A"/>
      <w:sz w:val="132"/>
      <w:szCs w:val="132"/>
    </w:rPr>
  </w:style>
  <w:style w:type="character" w:styleId="CkKicker">
    <w:name w:val="Clarkdown Kicker"/>
    <w:rPr>
      <w:smallCaps/>
      <w:spacing w:val="18"/>
      <w:color w:val="595959"/>
    </w:rPr>
  </w:style>
  <w:style w:type="paragraph" w:styleId="CkTrackedCaps" w:default="0">
    <w:name w:val="Clarkdown Tracked Caps"/>
    <w:basedOn w:val="Normal"/>
    <w:next w:val="Normal"/>
    <w:rPr>
      <w:smallCaps/>
      <w:spacing w:val="18"/>
    </w:rPr>
  </w:style>
  <w:style w:type="paragraph" w:styleId="Title" w:default="0">
    <w:name w:val="Title"/>
    <w:basedOn w:val="Normal"/>
    <w:next w:val="Normal"/>
    <w:pPr>
      <w:keepNext/>
      <w:keepLines/>
      <w:spacing w:after="240" w:line="264" w:lineRule="auto"/>
    </w:pPr>
    <w:rPr>
      <w:rFonts w:ascii="Calibri Light" w:hAnsi="Calibri Light"/>
      <w:b/>
      <w:sz w:val="54"/>
      <w:szCs w:val="54"/>
    </w:rPr>
  </w:style>
  <w:style w:type="character" w:styleId="Hyperlink">
    <w:name w:val="Hyperlink"/>
    <w:rPr>
      <w:color w:val="1A1A1A"/>
      <w:u w:val="single"/>
    </w:rPr>
  </w:style>
  <w:style w:type="paragraph" w:styleId="CkCodeBlock" w:default="0">
    <w:name w:val="Clarkdown Code Block"/>
    <w:basedOn w:val="Normal"/>
    <w:pPr>
      <w:shd w:val="clear" w:fill="EDEDED"/>
      <w:spacing w:after="0" w:line="240" w:lineRule="auto"/>
    </w:pPr>
    <w:rPr>
      <w:rFonts w:ascii="Consolas" w:hAnsi="Consolas"/>
      <w:noProof/>
      <w:sz w:val="20"/>
    </w:rPr>
  </w:style>
  <w:style w:type="character" w:styleId="CkCode">
    <w:name w:val="Clarkdown Code"/>
    <w:rPr>
      <w:rFonts w:ascii="Consolas" w:hAnsi="Consolas"/>
      <w:shd w:val="clear" w:fill="EDEDED"/>
      <w:sz w:val="20"/>
    </w:rPr>
  </w:style>
  <w:style w:type="paragraph" w:styleId="Caption" w:default="0">
    <w:name w:val="caption"/>
    <w:basedOn w:val="Normal"/>
    <w:rPr>
      <w:i/>
      <w:sz w:val="18"/>
    </w:rPr>
  </w:style>
  <w:style w:type="paragraph" w:styleId="ListParagraph" w:default="0">
    <w:name w:val="List Paragraph"/>
    <w:basedOn w:val="Normal"/>
    <w:pPr>
      <w:ind w:left="320"/>
    </w:pPr>
  </w:style>
  <w:style w:type="paragraph" w:styleId="CkUnknown" w:default="0">
    <w:name w:val="Clarkdown Unknown"/>
    <w:basedOn w:val="Normal"/>
    <w:pPr>
      <w:shd w:val="clear" w:fill="FFEEEE"/>
    </w:pPr>
  </w:style>
  <w:style w:type="paragraph" w:styleId="FootnoteText" w:default="0">
    <w:name w:val="footnote text"/>
    <w:basedOn w:val="Normal"/>
    <w:rPr>
      <w:sz w:val="18"/>
    </w:rPr>
  </w:style>
  <w:style w:type="character" w:styleId="FootnoteReference">
    <w:name w:val="footnote reference"/>
    <w:rPr>
      <w:vertAlign w:val="superscript"/>
    </w:rPr>
  </w:style>
  <w:style w:type="table" w:styleId="CkTable">
    <w:name w:val="Clarkdown Table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styleId="CkLayout">
    <w:name w:val="Clarkdown Layout"/>
    <w:tblPr>
      <w:tblBorders>
        <w:top w:val="none"/>
        <w:left w:val="none"/>
        <w:bottom w:val="none"/>
        <w:right w:val="none"/>
        <w:insideH w:val="none"/>
        <w:insideV w:val="none"/>
      </w:tblBorders>
    </w:tblPr>
  </w:style>
  <w:style w:type="paragraph" w:styleId="CkNote" w:default="0">
    <w:name w:val="Clarkdown Note"/>
    <w:basedOn w:val="Normal"/>
    <w:pPr>
      <w:pBdr>
        <w:left w:val="single" w:sz="24" w:space="8" w:color="2F6FEB"/>
      </w:pBdr>
      <w:ind w:left="240"/>
    </w:pPr>
  </w:style>
  <w:style w:type="paragraph" w:styleId="CkTip" w:default="0">
    <w:name w:val="Clarkdown Tip"/>
    <w:basedOn w:val="Normal"/>
    <w:pPr>
      <w:pBdr>
        <w:left w:val="single" w:sz="24" w:space="8" w:color="1A7F37"/>
      </w:pBdr>
      <w:ind w:left="240"/>
    </w:pPr>
  </w:style>
  <w:style w:type="paragraph" w:styleId="CkWarning" w:default="0">
    <w:name w:val="Clarkdown Warning"/>
    <w:basedOn w:val="Normal"/>
    <w:pPr>
      <w:pBdr>
        <w:left w:val="single" w:sz="24" w:space="8" w:color="9A6700"/>
      </w:pBdr>
      <w:ind w:left="240"/>
    </w:pPr>
  </w:style>
  <w:style w:type="paragraph" w:styleId="CkImportant" w:default="0">
    <w:name w:val="Clarkdown Important"/>
    <w:basedOn w:val="Normal"/>
    <w:pPr>
      <w:pBdr>
        <w:left w:val="single" w:sz="24" w:space="8" w:color="8250DF"/>
      </w:pBdr>
      <w:ind w:left="240"/>
    </w:pPr>
  </w:style>
  <w:style w:type="paragraph" w:styleId="CkCaution" w:default="0">
    <w:name w:val="Clarkdown Caution"/>
    <w:basedOn w:val="Normal"/>
    <w:pPr>
      <w:pBdr>
        <w:left w:val="single" w:sz="24" w:space="8" w:color="CF222E"/>
      </w:pBdr>
      <w:ind w:left="24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nts" Type="http://schemas.openxmlformats.org/officeDocument/2006/relationships/fontTable" Target="fontTable.xml"/><Relationship Id="rIdSettings" Type="http://schemas.openxmlformats.org/officeDocument/2006/relationships/settings" Target="settings.xml"/><Relationship Id="rIdH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